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C" w:rsidRDefault="008A7B9C" w:rsidP="008A7B9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9C" w:rsidRDefault="008A7B9C" w:rsidP="008A7B9C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A7B9C" w:rsidRPr="008A7B9C" w:rsidRDefault="008A7B9C" w:rsidP="008A7B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A7B9C">
        <w:rPr>
          <w:rFonts w:ascii="Times New Roman" w:hAnsi="Times New Roman" w:cs="Times New Roman"/>
          <w:b/>
          <w:sz w:val="28"/>
        </w:rPr>
        <w:t>Граница между Алтайским краем и Республикой Алтай внесена в Единый государственный реестр недвижимости</w:t>
      </w:r>
      <w:bookmarkEnd w:id="0"/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Алтайский край имеет смежные границы с тремя субъектами Российской Федерации: Республикой Алтай, Кемеровской областью-Кузбассом и Новосибирской областью.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Так, 18 марта 2022 года по результатам реализации комплекса мероприятий в Единый государственный реестр недвижимости (ЕГРН) внесены сведения о границе между Алтайским краем и Республикой Алтай.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- Данному событию предшествовала большая работа, осуществляемая рабочей группой, в состав которой вошли представители Управления Росреестра по Алтайскому краю, Управления имущественных отношений Алтайского края, Министерства природных ресурсов и экологии Алтайского края, филиала ФГБУ «ФКП Росреестра» по Алтайскому краю и других органов власти, - почеркнул руководитель Управления Росреестра по Алтайскому краю Юрий Калашников.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Работа по установлению границ планомерно проводится в рамках Целевой модели, утвержденной для создания благоприятных условий ведения предпринимательской деятельности и повышения инвестиционной привлекательности регионов Российской Федерации. 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 xml:space="preserve">Одним из показателей реализации Целевой модели, в том числе является показатель, характеризующий долю внесения в ЕГРН сведений о границах между субъектами Российской Федерации. </w:t>
      </w:r>
    </w:p>
    <w:p w:rsidR="00D4456B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B9C">
        <w:rPr>
          <w:rFonts w:ascii="Times New Roman" w:hAnsi="Times New Roman" w:cs="Times New Roman"/>
          <w:sz w:val="28"/>
        </w:rPr>
        <w:t>Юрий Калашников: «Внесение в ЕГРН сведений о границах между субъектами Российской Федерации является ключевой задачей для всех органов государственной власти, её выполнение позволит повысить качество наполнения информационных ресурсов, а также обеспечит инвестиционную привлекательность субъектов и эффективное управление земельными ресурсами».</w:t>
      </w: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B9C" w:rsidRDefault="008A7B9C" w:rsidP="008A7B9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A7B9C" w:rsidRDefault="008A7B9C" w:rsidP="008A7B9C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A7B9C" w:rsidRDefault="008A7B9C" w:rsidP="008A7B9C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A7B9C" w:rsidRDefault="008A7B9C" w:rsidP="008A7B9C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A7B9C" w:rsidRDefault="008A7B9C" w:rsidP="008A7B9C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A7B9C" w:rsidRDefault="008A7B9C" w:rsidP="008A7B9C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8A7B9C" w:rsidRDefault="00BB7A08" w:rsidP="008A7B9C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8A7B9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A7B9C" w:rsidRDefault="00BB7A08" w:rsidP="008A7B9C">
      <w:pPr>
        <w:pStyle w:val="a6"/>
        <w:rPr>
          <w:rStyle w:val="a5"/>
          <w:rFonts w:eastAsia="Calibri"/>
        </w:rPr>
      </w:pPr>
      <w:hyperlink r:id="rId7" w:history="1">
        <w:r w:rsidR="008A7B9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A7B9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A7B9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A7B9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A7B9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A7B9C" w:rsidRDefault="008A7B9C" w:rsidP="008A7B9C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A7B9C" w:rsidRDefault="008A7B9C" w:rsidP="008A7B9C">
      <w:pPr>
        <w:spacing w:after="0"/>
        <w:rPr>
          <w:sz w:val="26"/>
          <w:szCs w:val="26"/>
        </w:rPr>
      </w:pPr>
    </w:p>
    <w:p w:rsidR="008A7B9C" w:rsidRDefault="008A7B9C" w:rsidP="008A7B9C"/>
    <w:p w:rsidR="008A7B9C" w:rsidRPr="008A7B9C" w:rsidRDefault="008A7B9C" w:rsidP="008A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A7B9C" w:rsidRPr="008A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5"/>
    <w:rsid w:val="008546A4"/>
    <w:rsid w:val="008A7B9C"/>
    <w:rsid w:val="00BB7A08"/>
    <w:rsid w:val="00BE0AA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7B9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7B9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4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2022-04-21T09:53:00Z</dcterms:created>
  <dcterms:modified xsi:type="dcterms:W3CDTF">2022-04-21T09:53:00Z</dcterms:modified>
</cp:coreProperties>
</file>