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firstLine="709"/>
        <w:jc w:val="right"/>
        <w:rPr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.06.2022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3"/>
        <w:keepLines w:val="false"/>
        <w:numPr>
          <w:ilvl w:val="2"/>
          <w:numId w:val="1"/>
        </w:numPr>
        <w:suppressAutoHyphens w:val="true"/>
        <w:spacing w:lineRule="auto" w:line="240" w:before="0" w:after="0"/>
        <w:ind w:left="0" w:hanging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Установленная граница рубль и нервы бережет</w:t>
      </w:r>
      <w:bookmarkStart w:id="0" w:name="_GoBack"/>
      <w:bookmarkEnd w:id="0"/>
    </w:p>
    <w:p>
      <w:pPr>
        <w:pStyle w:val="Style21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ind w:firstLine="680"/>
        <w:jc w:val="both"/>
        <w:rPr>
          <w:b/>
          <w:b/>
          <w:bCs/>
        </w:rPr>
      </w:pPr>
      <w:r>
        <w:rPr>
          <w:b/>
          <w:bCs/>
          <w:iCs/>
          <w:color w:val="000000"/>
          <w:sz w:val="28"/>
          <w:szCs w:val="28"/>
          <w:shd w:fill="FFFFFF" w:val="clear"/>
        </w:rPr>
        <w:t>Согласно статистическим данным на 1 апреля текущего года на территории  края у каждого третьего земельного участка не были установлены границы, сведения о 74% территориальных зон не предоставлены для внесения в госреестр. Эксперты Кадастровой палаты по Алтайскому краю напомнили об основных причинах необходимости установления границ земельных участков и территориальных зон, а также внесения таких сведений в Единый государственный реестр недвижимости (ЕГРН).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Определение границ земельного участка и их юридическое оформление называется межеванием. Данная процедура предусматривает проведение геодезических работ, сбор и изучение документов, а также согласование границ с соседями. В результате межевания составляется межевой план. На основании подготовленных документов проводится процедура постановки на кадастровый учет земельного участка или уточняются сведения об уже учтенном участке в госреестре.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«По итогам работы за 1 квартал 2022 года на территории края у каждого третьего земельного участка отсутствовали установленные границы. Отсутствие в ЕГРН сведений о координатах  границ  увеличивает риск незаконного захвата земельного участка или его части, что может привести к конфликтам, судебным спорам, потери личного времени и денежным затратам. Кроме того, сведения о наличии установленных границ запрашивают разные организации, например банки, оценочные и страховые компании, а также приобретатели недвижимости. В ряде случаев отсутствие точных сведений о фактической площади земельного участка может привести к завышению кадастровой стоимости и неправильному начислению налога»</w:t>
      </w:r>
      <w:r>
        <w:rPr>
          <w:color w:val="000000"/>
          <w:sz w:val="28"/>
          <w:szCs w:val="28"/>
          <w:shd w:fill="FFFFFF" w:val="clear"/>
        </w:rPr>
        <w:t>, - сообщил</w:t>
      </w:r>
      <w:r>
        <w:rPr>
          <w:bCs/>
          <w:color w:val="000000"/>
          <w:sz w:val="28"/>
          <w:szCs w:val="28"/>
          <w:shd w:fill="FFFFFF" w:val="clear"/>
        </w:rPr>
        <w:t xml:space="preserve"> 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заместитель директора Кадастровой палаты по Алтайскому краю Игорь Штайнепрайс. 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На территории Алтайского края установлено порядка 5,8 тысяч территориальных зон, для которых в правилах землепользования и застройки определены границы и установлены градостроительные регламенты. Территориальные зоны устанавливают определённые виды разрешённого использования земельных участков, объектов капитального строительства, а также параметры строительства и реконструкции объектов.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Решение об установлении, изменении и прекращении существования таких зон принимают органы власти и органы местного самоуправления, либо их возникновение прямо предусмотрено законом. Принятое решение и 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соответствующие документы орган власти направляет в Росреестр для внесения  сведений о границах таких зон в ЕГРН.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На текущий момент в ЕГРН внесены сведения о 26% территориальных зон от общего количества установленных в Алтайском крае территориальных зон.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«Внесение в ЕГРН сведений о территориальных зонах позволяет избежать случаи нарушения действующего законодательства. Например, собственник построил жилой дом рядом с промышленным предприятием и зарегистрировал на него права. Спустя некоторое время в ЕГРН были внесены границы территориальной зоны - «зона промышленности». В данной зоне отсутствует такой вид разрешенного использования как индивидуальная жилая застройка. В этом случае дом собственника попадает под ограничения, которые не позволят полноценно распоряжаться недвижимостью. Перечень ограничений будет зависеть от вида территориальной зоны. Во избежание такой ситуации необходимо, чтобы сведения о всех территориальных зонах содержались в ЕГРН»</w:t>
      </w:r>
      <w:r>
        <w:rPr>
          <w:color w:val="000000"/>
          <w:sz w:val="28"/>
          <w:szCs w:val="28"/>
          <w:shd w:fill="FFFFFF" w:val="clear"/>
        </w:rPr>
        <w:t xml:space="preserve">, - отметил </w:t>
      </w:r>
      <w:r>
        <w:rPr>
          <w:b/>
          <w:bCs/>
          <w:color w:val="000000"/>
          <w:sz w:val="28"/>
          <w:szCs w:val="28"/>
          <w:shd w:fill="FFFFFF" w:val="clear"/>
        </w:rPr>
        <w:t>Игорь Штайнепрайс.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Как проверить относится участок к территориальной зоне или нет?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Во-первых, можно запросить сведения из ЕГРН в виде выписки об объекте недвижимости. В разделе 4.1 такой выписки указывается информация о наличии или отсутствии ограничений. Выписку можно запросить в офисе МФЦ либо через </w:t>
      </w:r>
      <w:hyperlink r:id="rId3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портал Росреестра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или сайт </w:t>
      </w:r>
      <w:hyperlink r:id="rId4">
        <w:r>
          <w:rPr>
            <w:rFonts w:cs="Times New Roman" w:ascii="Times New Roman" w:hAnsi="Times New Roman"/>
            <w:sz w:val="28"/>
            <w:szCs w:val="28"/>
            <w:shd w:fill="FFFFFF" w:val="clear"/>
          </w:rPr>
          <w:t>Федеральной кадастровой палаты</w:t>
        </w:r>
      </w:hyperlink>
      <w:r>
        <w:rPr>
          <w:rFonts w:cs="Times New Roman" w:ascii="Times New Roman" w:hAnsi="Times New Roman"/>
          <w:color w:val="0000FF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Сведения, запрашиваемые и получаемые в электронном виде, на 20-70% дешевле бумажного варианта выписки.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Во-вторых, интересующую информацию можно посмотреть в правилах землепользования и застройки и генеральном плане поселения или города. Как правило, эти документы можно найти на официальном сайте муниципалитета. Кроме того, необходимо убедиться, что поблизости от выбранного участка нет объекта, требующего установления охранных зон.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shd w:fill="FFFFFF" w:val="clear"/>
        </w:rPr>
        <w:t>Контакты для СМИ: тел. 8 (3852) 55-76-59, доб. 7091, 7092,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shd w:fill="FFFFFF" w:val="clear"/>
        </w:rPr>
        <w:t>адрес электронной почты: press@22.kadastr.ru.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shd w:fill="FFFFFF" w:val="clear"/>
        </w:rPr>
        <w:t>Официальная страница в соц. сети: https://vk.com/kadastr22</w:t>
      </w:r>
    </w:p>
    <w:p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shd w:fill="FFFFFF" w:val="clear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</w:rPr>
      </w:pPr>
      <w:hyperlink r:id="rId5">
        <w:r>
          <w:rPr>
            <w:rFonts w:eastAsia="Calibri"/>
            <w:sz w:val="20"/>
            <w:szCs w:val="20"/>
            <w:shd w:fill="FFFFFF" w:val="clear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>
          <w:rStyle w:val="Style15"/>
          <w:rFonts w:eastAsia="Calibri"/>
        </w:rPr>
      </w:pPr>
      <w:hyperlink r:id="rId6">
        <w:r>
          <w:rPr>
            <w:rFonts w:eastAsia="Calibri"/>
            <w:sz w:val="20"/>
            <w:szCs w:val="20"/>
            <w:shd w:fill="FFFFFF" w:val="clear"/>
            <w:lang w:val="en-US"/>
          </w:rPr>
          <w:t>www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rosreestr</w:t>
        </w:r>
        <w:r>
          <w:rPr>
            <w:rFonts w:eastAsia="Calibri"/>
            <w:sz w:val="20"/>
            <w:szCs w:val="20"/>
            <w:shd w:fill="FFFFFF" w:val="clear"/>
          </w:rPr>
          <w:t>.</w:t>
        </w:r>
        <w:r>
          <w:rPr>
            <w:rFonts w:eastAsia="Calibri"/>
            <w:sz w:val="20"/>
            <w:szCs w:val="20"/>
            <w:shd w:fill="FFFFFF" w:val="clear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>
      <w:headerReference w:type="default" r:id="rId7"/>
      <w:type w:val="nextPage"/>
      <w:pgSz w:w="11906" w:h="16838"/>
      <w:pgMar w:left="1134" w:right="567" w:header="709" w:top="1134" w:footer="0" w:bottom="53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43249179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3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7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b"/>
    <w:uiPriority w:val="99"/>
    <w:qFormat/>
    <w:rPr/>
  </w:style>
  <w:style w:type="character" w:styleId="Style10" w:customStyle="1">
    <w:name w:val="Текст сноски Знак"/>
    <w:link w:val="af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2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d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ff"/>
    <w:uiPriority w:val="99"/>
    <w:semiHidden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3dfa"/>
    <w:rPr>
      <w:b/>
      <w:bCs/>
    </w:rPr>
  </w:style>
  <w:style w:type="character" w:styleId="Jsphonenumber" w:customStyle="1">
    <w:name w:val="js-phone-number"/>
    <w:basedOn w:val="DefaultParagraphFont"/>
    <w:qFormat/>
    <w:rsid w:val="00e73dfa"/>
    <w:rPr/>
  </w:style>
  <w:style w:type="character" w:styleId="Style18">
    <w:name w:val="Посещённая гиперссылка"/>
    <w:basedOn w:val="DefaultParagraphFont"/>
    <w:uiPriority w:val="99"/>
    <w:semiHidden/>
    <w:unhideWhenUsed/>
    <w:rsid w:val="00777c49"/>
    <w:rPr>
      <w:color w:val="954F72" w:themeColor="followedHyperlink"/>
      <w:u w:val="single"/>
    </w:rPr>
  </w:style>
  <w:style w:type="character" w:styleId="32" w:customStyle="1">
    <w:name w:val="Основной шрифт абзаца3"/>
    <w:qFormat/>
    <w:rsid w:val="00b25eb3"/>
    <w:rPr/>
  </w:style>
  <w:style w:type="character" w:styleId="Style19" w:customStyle="1">
    <w:name w:val="Основной текст Знак"/>
    <w:basedOn w:val="DefaultParagraphFont"/>
    <w:link w:val="aff4"/>
    <w:semiHidden/>
    <w:qFormat/>
    <w:rsid w:val="00bc5f4e"/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f5"/>
    <w:semiHidden/>
    <w:unhideWhenUsed/>
    <w:rsid w:val="00bc5f4e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kern w:val="2"/>
      <w:sz w:val="24"/>
      <w:szCs w:val="24"/>
      <w:lang w:eastAsia="zh-C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Normal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c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30">
    <w:name w:val="Footnote Text"/>
    <w:basedOn w:val="Normal"/>
    <w:link w:val="af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31">
    <w:name w:val="Endnote Text"/>
    <w:basedOn w:val="Normal"/>
    <w:link w:val="af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4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f0"/>
    <w:uiPriority w:val="99"/>
    <w:semiHidden/>
    <w:unhideWhenUsed/>
    <w:qFormat/>
    <w:pPr/>
    <w:rPr>
      <w:b/>
      <w:bCs/>
    </w:rPr>
  </w:style>
  <w:style w:type="paragraph" w:styleId="Westernmrcssattr" w:customStyle="1">
    <w:name w:val="western_mr_css_attr"/>
    <w:basedOn w:val="Normal"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ff09b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gov.ru/" TargetMode="External"/><Relationship Id="rId4" Type="http://schemas.openxmlformats.org/officeDocument/2006/relationships/hyperlink" Target="https://kadastr.ru/" TargetMode="External"/><Relationship Id="rId5" Type="http://schemas.openxmlformats.org/officeDocument/2006/relationships/hyperlink" Target="mailto:22press_rosreestr@mail.ru" TargetMode="External"/><Relationship Id="rId6" Type="http://schemas.openxmlformats.org/officeDocument/2006/relationships/hyperlink" Target="http://www.rosreestr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LibreOffice/7.1.1.2$Windows_X86_64 LibreOffice_project/fe0b08f4af1bacafe4c7ecc87ce55bb426164676</Application>
  <AppVersion>15.0000</AppVersion>
  <Pages>2</Pages>
  <Words>706</Words>
  <Characters>5082</Characters>
  <CharactersWithSpaces>5905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2022-06-02T10:07:00Z</dcterms:created>
  <dc:creator>Пушкарская Диана Дмитриевна</dc:creator>
  <dc:description/>
  <dc:language>ru-RU</dc:language>
  <cp:lastModifiedBy/>
  <dcterms:modified xsi:type="dcterms:W3CDTF">2022-06-10T12:36:38Z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