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C5E53">
      <w:pPr>
        <w:pStyle w:val="35"/>
        <w:spacing w:line="240" w:lineRule="auto"/>
        <w:ind w:left="5783"/>
        <w:jc w:val="center"/>
        <w:rPr>
          <w:rFonts w:eastAsia="Calibri"/>
          <w:i/>
          <w:iCs/>
          <w:color w:val="000000"/>
          <w:lang w:val="ru-RU" w:eastAsia="ru-RU"/>
        </w:rPr>
      </w:pPr>
      <w:r>
        <w:rPr>
          <w:i/>
          <w:iCs/>
          <w:color w:val="000000"/>
          <w:sz w:val="12"/>
          <w:szCs w:val="12"/>
          <w:lang w:val="ru-RU" w:eastAsia="ru-RU"/>
        </w:rPr>
        <w:t xml:space="preserve"> </w:t>
      </w:r>
    </w:p>
    <w:p w:rsidR="00000000" w:rsidRDefault="00CC5E53">
      <w:pPr>
        <w:jc w:val="center"/>
        <w:rPr>
          <w:rFonts w:eastAsia="Calibri"/>
          <w:i/>
          <w:iCs/>
          <w:color w:val="000000"/>
          <w:sz w:val="22"/>
          <w:szCs w:val="22"/>
          <w:lang w:eastAsia="ru-RU"/>
        </w:rPr>
      </w:pPr>
      <w:r>
        <w:rPr>
          <w:rFonts w:eastAsia="Calibri"/>
          <w:i/>
          <w:iCs/>
          <w:color w:val="000000"/>
          <w:sz w:val="28"/>
          <w:szCs w:val="28"/>
          <w:lang w:eastAsia="ru-RU"/>
        </w:rPr>
        <w:t>14 марта день работников геодезии и картографии</w:t>
      </w:r>
    </w:p>
    <w:p w:rsidR="00000000" w:rsidRDefault="00CC5E53">
      <w:pPr>
        <w:jc w:val="center"/>
        <w:rPr>
          <w:rFonts w:eastAsia="Calibri"/>
          <w:i/>
          <w:iCs/>
          <w:color w:val="000000"/>
          <w:sz w:val="22"/>
          <w:szCs w:val="22"/>
          <w:lang w:eastAsia="ru-RU"/>
        </w:rPr>
      </w:pP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rStyle w:val="af1"/>
          <w:color w:val="000000"/>
          <w:sz w:val="28"/>
          <w:szCs w:val="28"/>
          <w:lang w:val="ru-RU"/>
        </w:rPr>
        <w:t>Во второе воскресенье марта отмечается профессиональный праздник - День работников геодезии и картографии России, установленный Указом Президента Российской Федерации от 11 ноября 2000 года. От Кадастровой</w:t>
      </w:r>
      <w:r>
        <w:rPr>
          <w:rStyle w:val="af1"/>
          <w:color w:val="000000"/>
          <w:sz w:val="28"/>
          <w:szCs w:val="28"/>
          <w:lang w:val="ru-RU"/>
        </w:rPr>
        <w:t xml:space="preserve"> палаты Алтайского края немного об истории развития картографии                            и геодезии в России.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 переводе с греческого языка геодезия означает «землеразделение», оно непосредственно связано с работами по размежеванию земельных участков. Ге</w:t>
      </w:r>
      <w:r>
        <w:rPr>
          <w:b w:val="0"/>
          <w:color w:val="000000"/>
          <w:sz w:val="26"/>
          <w:szCs w:val="26"/>
        </w:rPr>
        <w:t xml:space="preserve">одезия появилась в глубокой древности </w:t>
      </w:r>
      <w:r>
        <w:rPr>
          <w:b w:val="0"/>
          <w:color w:val="000000"/>
          <w:sz w:val="26"/>
          <w:szCs w:val="26"/>
          <w:lang w:val="ru-RU"/>
        </w:rPr>
        <w:t xml:space="preserve">и </w:t>
      </w:r>
      <w:r>
        <w:rPr>
          <w:b w:val="0"/>
          <w:color w:val="000000"/>
          <w:sz w:val="26"/>
          <w:szCs w:val="26"/>
        </w:rPr>
        <w:t>бурно разви</w:t>
      </w:r>
      <w:r>
        <w:rPr>
          <w:b w:val="0"/>
          <w:color w:val="000000"/>
          <w:sz w:val="26"/>
          <w:szCs w:val="26"/>
          <w:lang w:val="ru-RU"/>
        </w:rPr>
        <w:t>валась</w:t>
      </w:r>
      <w:r>
        <w:rPr>
          <w:b w:val="0"/>
          <w:color w:val="000000"/>
          <w:sz w:val="26"/>
          <w:szCs w:val="26"/>
        </w:rPr>
        <w:t xml:space="preserve"> в связи с потребностями человека              в жилье, </w:t>
      </w:r>
      <w:r>
        <w:rPr>
          <w:b w:val="0"/>
          <w:color w:val="000000"/>
          <w:sz w:val="26"/>
          <w:szCs w:val="26"/>
          <w:lang w:val="ru-RU"/>
        </w:rPr>
        <w:t xml:space="preserve">необходимости </w:t>
      </w:r>
      <w:r>
        <w:rPr>
          <w:b w:val="0"/>
          <w:color w:val="000000"/>
          <w:sz w:val="26"/>
          <w:szCs w:val="26"/>
        </w:rPr>
        <w:t>делени</w:t>
      </w:r>
      <w:r>
        <w:rPr>
          <w:b w:val="0"/>
          <w:color w:val="000000"/>
          <w:sz w:val="26"/>
          <w:szCs w:val="26"/>
          <w:lang w:val="ru-RU"/>
        </w:rPr>
        <w:t>я</w:t>
      </w:r>
      <w:r>
        <w:rPr>
          <w:b w:val="0"/>
          <w:color w:val="000000"/>
          <w:sz w:val="26"/>
          <w:szCs w:val="26"/>
        </w:rPr>
        <w:t xml:space="preserve"> земельных массивов на участки </w:t>
      </w:r>
      <w:r>
        <w:rPr>
          <w:b w:val="0"/>
          <w:color w:val="000000"/>
          <w:sz w:val="26"/>
          <w:szCs w:val="26"/>
          <w:lang w:val="ru-RU"/>
        </w:rPr>
        <w:t>для</w:t>
      </w:r>
      <w:r>
        <w:rPr>
          <w:b w:val="0"/>
          <w:color w:val="000000"/>
          <w:sz w:val="26"/>
          <w:szCs w:val="26"/>
        </w:rPr>
        <w:t xml:space="preserve"> возделывани</w:t>
      </w:r>
      <w:r>
        <w:rPr>
          <w:b w:val="0"/>
          <w:color w:val="000000"/>
          <w:sz w:val="26"/>
          <w:szCs w:val="26"/>
          <w:lang w:val="ru-RU"/>
        </w:rPr>
        <w:t>я</w:t>
      </w:r>
      <w:r>
        <w:rPr>
          <w:b w:val="0"/>
          <w:color w:val="000000"/>
          <w:sz w:val="26"/>
          <w:szCs w:val="26"/>
        </w:rPr>
        <w:t xml:space="preserve"> растений и</w:t>
      </w:r>
      <w:r>
        <w:rPr>
          <w:b w:val="0"/>
          <w:color w:val="000000"/>
          <w:sz w:val="26"/>
          <w:szCs w:val="26"/>
        </w:rPr>
        <w:t xml:space="preserve"> т. п. </w:t>
      </w:r>
      <w:r>
        <w:rPr>
          <w:b w:val="0"/>
          <w:color w:val="000000"/>
          <w:sz w:val="26"/>
          <w:szCs w:val="26"/>
          <w:lang w:val="ru-RU"/>
        </w:rPr>
        <w:t>Геодезия неразрывно связана с такой наукой как картогр</w:t>
      </w:r>
      <w:r>
        <w:rPr>
          <w:b w:val="0"/>
          <w:color w:val="000000"/>
          <w:sz w:val="26"/>
          <w:szCs w:val="26"/>
          <w:lang w:val="ru-RU"/>
        </w:rPr>
        <w:t>афи</w:t>
      </w:r>
      <w:r>
        <w:rPr>
          <w:b w:val="0"/>
          <w:color w:val="000000"/>
          <w:sz w:val="26"/>
          <w:szCs w:val="26"/>
          <w:lang w:val="ru-RU"/>
        </w:rPr>
        <w:t>я,</w:t>
      </w:r>
      <w:r>
        <w:rPr>
          <w:rStyle w:val="ab"/>
          <w:b w:val="0"/>
          <w:color w:val="000000"/>
          <w:sz w:val="26"/>
          <w:u w:val="none"/>
        </w:rPr>
        <w:t xml:space="preserve"> рассматрива</w:t>
      </w:r>
      <w:r>
        <w:rPr>
          <w:rStyle w:val="ab"/>
          <w:b w:val="0"/>
          <w:color w:val="000000"/>
          <w:sz w:val="26"/>
          <w:u w:val="none"/>
          <w:lang w:val="ru-RU"/>
        </w:rPr>
        <w:t>ющей</w:t>
      </w:r>
      <w:r>
        <w:rPr>
          <w:rStyle w:val="ab"/>
          <w:b w:val="0"/>
          <w:color w:val="000000"/>
          <w:sz w:val="26"/>
          <w:u w:val="none"/>
        </w:rPr>
        <w:t xml:space="preserve"> методы составления, издания и использования различных карт</w:t>
      </w:r>
      <w:r>
        <w:rPr>
          <w:rStyle w:val="ab"/>
          <w:b w:val="0"/>
          <w:color w:val="000000"/>
          <w:sz w:val="26"/>
          <w:u w:val="none"/>
          <w:lang w:val="ru-RU"/>
        </w:rPr>
        <w:t>ографических материалов</w:t>
      </w:r>
      <w:r>
        <w:rPr>
          <w:b w:val="0"/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 xml:space="preserve"> 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Простейшие картографические рисунки использовались </w:t>
      </w:r>
      <w:r>
        <w:rPr>
          <w:rStyle w:val="ab"/>
          <w:b w:val="0"/>
          <w:color w:val="000000"/>
          <w:sz w:val="26"/>
          <w:u w:val="none"/>
        </w:rPr>
        <w:t>ещё до зарождения письменности</w:t>
      </w:r>
      <w:r>
        <w:rPr>
          <w:b w:val="0"/>
          <w:color w:val="000000"/>
          <w:sz w:val="26"/>
          <w:szCs w:val="26"/>
        </w:rPr>
        <w:t>. Об этом свидетельствуют примитивные изображения у разных древних народ</w:t>
      </w:r>
      <w:r>
        <w:rPr>
          <w:b w:val="0"/>
          <w:color w:val="000000"/>
          <w:sz w:val="26"/>
          <w:szCs w:val="26"/>
        </w:rPr>
        <w:t>ностей. Рисунки, исполненные на дереве, коре и других подручных материалах, нередко отличавшиеся большим правдоподобием, служили для указания путей кочевок, мест охоты и т.п.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Первые планы и описания земель, </w:t>
      </w:r>
      <w:r>
        <w:rPr>
          <w:b w:val="0"/>
          <w:color w:val="000000"/>
          <w:sz w:val="26"/>
          <w:szCs w:val="26"/>
          <w:lang w:val="ru-RU"/>
        </w:rPr>
        <w:t>входящих в современные границы Российской Федерац</w:t>
      </w:r>
      <w:r>
        <w:rPr>
          <w:b w:val="0"/>
          <w:color w:val="000000"/>
          <w:sz w:val="26"/>
          <w:szCs w:val="26"/>
          <w:lang w:val="ru-RU"/>
        </w:rPr>
        <w:t xml:space="preserve">ии, </w:t>
      </w:r>
      <w:r>
        <w:rPr>
          <w:b w:val="0"/>
          <w:color w:val="000000"/>
          <w:sz w:val="26"/>
          <w:szCs w:val="26"/>
        </w:rPr>
        <w:t>появились еще в ХIV веке. На Руси карты (чертежи) считали необходимым документом на землевладение. Такого рода чертежи наносились на лубок - кору березы. В ХV веке в результате политики создания единого русского государства появилась потребность в земл</w:t>
      </w:r>
      <w:r>
        <w:rPr>
          <w:b w:val="0"/>
          <w:color w:val="000000"/>
          <w:sz w:val="26"/>
          <w:szCs w:val="26"/>
        </w:rPr>
        <w:t>еизмерительных работах для изучения территории страны, особенно        в тех ее частях, которые приобретали важное хозяйственное и военное значение. Со второй половины ХV века в России стали проводиться систематические описания земель. В 1497 году был сост</w:t>
      </w:r>
      <w:r>
        <w:rPr>
          <w:b w:val="0"/>
          <w:color w:val="000000"/>
          <w:sz w:val="26"/>
          <w:szCs w:val="26"/>
        </w:rPr>
        <w:t>авлен «Чертеж московских земель», геометрически характеризовавший новое государство. В 1525 году путешественник Дмитрий Герасимов по описаниям и опросам составил «Писцовую карту России».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 период правления Ивана Грозного (1530</w:t>
      </w:r>
      <w:r>
        <w:rPr>
          <w:b w:val="0"/>
          <w:color w:val="000000"/>
          <w:sz w:val="26"/>
          <w:szCs w:val="26"/>
        </w:rPr>
        <w:noBreakHyphen/>
        <w:t xml:space="preserve">1584) было составлено первое </w:t>
      </w:r>
      <w:r>
        <w:rPr>
          <w:b w:val="0"/>
          <w:color w:val="000000"/>
          <w:sz w:val="26"/>
          <w:szCs w:val="26"/>
        </w:rPr>
        <w:t xml:space="preserve">руководство по геодезии, называвшееся «Книга, именуемая геометрия, или землемерие радиксом и циркулем ... глубокомудрая, дающая легкий способ измерять места самые недоступные, плоскости, дебри», а также положено начало составления карты государства. </w:t>
      </w:r>
      <w:r>
        <w:rPr>
          <w:b w:val="0"/>
          <w:color w:val="000000"/>
          <w:sz w:val="26"/>
          <w:szCs w:val="26"/>
          <w:lang w:val="ru-RU"/>
        </w:rPr>
        <w:t>Н</w:t>
      </w:r>
      <w:r>
        <w:rPr>
          <w:b w:val="0"/>
          <w:color w:val="000000"/>
          <w:sz w:val="26"/>
          <w:szCs w:val="26"/>
        </w:rPr>
        <w:t>а вос</w:t>
      </w:r>
      <w:r>
        <w:rPr>
          <w:b w:val="0"/>
          <w:color w:val="000000"/>
          <w:sz w:val="26"/>
          <w:szCs w:val="26"/>
        </w:rPr>
        <w:t xml:space="preserve">ток направлялись многочисленные служилые люди и купцы, первые землепроходцы, </w:t>
      </w:r>
      <w:r>
        <w:rPr>
          <w:b w:val="0"/>
          <w:color w:val="000000"/>
          <w:sz w:val="26"/>
          <w:szCs w:val="26"/>
          <w:lang w:val="ru-RU"/>
        </w:rPr>
        <w:t>привозившие из своих</w:t>
      </w:r>
      <w:r>
        <w:rPr>
          <w:b w:val="0"/>
          <w:color w:val="000000"/>
          <w:sz w:val="26"/>
          <w:szCs w:val="26"/>
        </w:rPr>
        <w:t xml:space="preserve"> путешествий подробные росписи пути и чертежи. В архивах Ивана IV было несколько ящиков чертежей и перечень 248 карт.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 1649 году впервые появляются межевые за</w:t>
      </w:r>
      <w:r>
        <w:rPr>
          <w:b w:val="0"/>
          <w:color w:val="000000"/>
          <w:sz w:val="26"/>
          <w:szCs w:val="26"/>
        </w:rPr>
        <w:t xml:space="preserve">коны, в основном определяющие порядок межевания. Все межевые законы были собраны в «Соборном Уложении». Результаты описания земель заносились в писцовые книги. 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В эпоху Петра I </w:t>
      </w:r>
      <w:r>
        <w:rPr>
          <w:rStyle w:val="ab"/>
          <w:b w:val="0"/>
          <w:color w:val="000000"/>
          <w:sz w:val="26"/>
          <w:u w:val="none"/>
        </w:rPr>
        <w:t>положено начало систематическому изучению и картографированию территории России</w:t>
      </w:r>
      <w:r>
        <w:rPr>
          <w:rStyle w:val="ab"/>
          <w:b w:val="0"/>
          <w:color w:val="000000"/>
          <w:sz w:val="26"/>
          <w:u w:val="none"/>
        </w:rPr>
        <w:t xml:space="preserve"> </w:t>
      </w:r>
      <w:r>
        <w:rPr>
          <w:b w:val="0"/>
          <w:color w:val="000000"/>
          <w:sz w:val="26"/>
          <w:szCs w:val="26"/>
        </w:rPr>
        <w:t>на основе планомерной инструментальной съемки. Для их создания была налажена подготовка геодезистов (съемщиков), основана картопечатная база. Планы Петра I предусматривали широкомасштабные съемки территории страны для создания генеральной карты Российской</w:t>
      </w:r>
      <w:r>
        <w:rPr>
          <w:b w:val="0"/>
          <w:color w:val="000000"/>
          <w:sz w:val="26"/>
          <w:szCs w:val="26"/>
        </w:rPr>
        <w:t xml:space="preserve"> империи. 10 марта (28 февраля </w:t>
      </w:r>
      <w:r>
        <w:rPr>
          <w:b w:val="0"/>
          <w:color w:val="000000"/>
          <w:sz w:val="26"/>
          <w:szCs w:val="26"/>
          <w:lang w:val="ru-RU"/>
        </w:rPr>
        <w:t xml:space="preserve">по </w:t>
      </w:r>
      <w:r>
        <w:rPr>
          <w:b w:val="0"/>
          <w:color w:val="000000"/>
          <w:sz w:val="26"/>
          <w:szCs w:val="26"/>
        </w:rPr>
        <w:t xml:space="preserve">ст.ст.) 1720 года вышел «Генеральный регламент»  (документ, определявший порядок государственного управления), в котором в главе «О ландкартах и чертежах государевых» </w:t>
      </w:r>
      <w:r>
        <w:rPr>
          <w:rStyle w:val="ab"/>
          <w:b w:val="0"/>
          <w:color w:val="000000"/>
          <w:sz w:val="26"/>
          <w:u w:val="none"/>
        </w:rPr>
        <w:t xml:space="preserve">формулируется основная цель картографического изучения </w:t>
      </w:r>
      <w:r>
        <w:rPr>
          <w:rStyle w:val="ab"/>
          <w:b w:val="0"/>
          <w:color w:val="000000"/>
          <w:sz w:val="26"/>
          <w:u w:val="none"/>
        </w:rPr>
        <w:t>Империи</w:t>
      </w:r>
      <w:r>
        <w:rPr>
          <w:b w:val="0"/>
          <w:color w:val="000000"/>
          <w:sz w:val="26"/>
          <w:szCs w:val="26"/>
        </w:rPr>
        <w:t>: «</w:t>
      </w:r>
      <w:r>
        <w:rPr>
          <w:b w:val="0"/>
          <w:i/>
          <w:iCs/>
          <w:color w:val="000000"/>
          <w:sz w:val="26"/>
          <w:szCs w:val="26"/>
        </w:rPr>
        <w:t xml:space="preserve">... и дабы каждый коллегиум о состоянии государства и о принадлежащих к оному провинциях подлинную ведомость и известие получить мог, того ради надлежит в каждой Коллегии иметь генеральные и партикулярные ландкарты (или чертежи) ... </w:t>
      </w:r>
      <w:r>
        <w:rPr>
          <w:b w:val="0"/>
          <w:i/>
          <w:iCs/>
          <w:color w:val="000000"/>
          <w:sz w:val="26"/>
          <w:szCs w:val="26"/>
        </w:rPr>
        <w:lastRenderedPageBreak/>
        <w:t>имянно описат</w:t>
      </w:r>
      <w:r>
        <w:rPr>
          <w:b w:val="0"/>
          <w:i/>
          <w:iCs/>
          <w:color w:val="000000"/>
          <w:sz w:val="26"/>
          <w:szCs w:val="26"/>
        </w:rPr>
        <w:t xml:space="preserve">ь все границы, реки, городы, местечки, церъкви, деревни, леса и протчая». </w:t>
      </w:r>
      <w:r>
        <w:rPr>
          <w:b w:val="0"/>
          <w:color w:val="000000"/>
          <w:sz w:val="26"/>
          <w:szCs w:val="26"/>
        </w:rPr>
        <w:t>В конце 1720 года особым указом Сената положено начало государственной съемк</w:t>
      </w:r>
      <w:r>
        <w:rPr>
          <w:b w:val="0"/>
          <w:color w:val="000000"/>
          <w:sz w:val="26"/>
          <w:szCs w:val="26"/>
          <w:lang w:val="ru-RU"/>
        </w:rPr>
        <w:t>е</w:t>
      </w:r>
      <w:r>
        <w:rPr>
          <w:b w:val="0"/>
          <w:color w:val="000000"/>
          <w:sz w:val="26"/>
          <w:szCs w:val="26"/>
        </w:rPr>
        <w:t xml:space="preserve"> всей территории государства, продолжа</w:t>
      </w:r>
      <w:r>
        <w:rPr>
          <w:b w:val="0"/>
          <w:color w:val="000000"/>
          <w:sz w:val="26"/>
          <w:szCs w:val="26"/>
          <w:lang w:val="ru-RU"/>
        </w:rPr>
        <w:t>вшейся</w:t>
      </w:r>
      <w:r>
        <w:rPr>
          <w:b w:val="0"/>
          <w:color w:val="000000"/>
          <w:sz w:val="26"/>
          <w:szCs w:val="26"/>
        </w:rPr>
        <w:t xml:space="preserve"> до 1744 года и охвати</w:t>
      </w:r>
      <w:r>
        <w:rPr>
          <w:b w:val="0"/>
          <w:color w:val="000000"/>
          <w:sz w:val="26"/>
          <w:szCs w:val="26"/>
          <w:lang w:val="ru-RU"/>
        </w:rPr>
        <w:t>вшей</w:t>
      </w:r>
      <w:r>
        <w:rPr>
          <w:b w:val="0"/>
          <w:color w:val="000000"/>
          <w:sz w:val="26"/>
          <w:szCs w:val="26"/>
        </w:rPr>
        <w:t xml:space="preserve"> 200 уездов из 285 существовавших п</w:t>
      </w:r>
      <w:r>
        <w:rPr>
          <w:b w:val="0"/>
          <w:color w:val="000000"/>
          <w:sz w:val="26"/>
          <w:szCs w:val="26"/>
        </w:rPr>
        <w:t>о административному делению страны того времени.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С 1740</w:t>
      </w:r>
      <w:r>
        <w:rPr>
          <w:b w:val="0"/>
          <w:color w:val="000000"/>
          <w:sz w:val="26"/>
          <w:szCs w:val="26"/>
        </w:rPr>
        <w:noBreakHyphen/>
        <w:t xml:space="preserve">х годов и до конца XVIII века основная роль в картографировании страны принадлежала Академии наук. </w:t>
      </w:r>
      <w:r>
        <w:rPr>
          <w:b w:val="0"/>
          <w:color w:val="000000"/>
          <w:sz w:val="26"/>
          <w:szCs w:val="26"/>
          <w:lang w:val="ru-RU"/>
        </w:rPr>
        <w:t>С 1763 года в России развернулись работы по Генеральному межеванию земель, материалы которого собирал</w:t>
      </w:r>
      <w:r>
        <w:rPr>
          <w:b w:val="0"/>
          <w:color w:val="000000"/>
          <w:sz w:val="26"/>
          <w:szCs w:val="26"/>
          <w:lang w:val="ru-RU"/>
        </w:rPr>
        <w:t>ись в Межевой экспедиции Сената.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XIX век в истории </w:t>
      </w:r>
      <w:r>
        <w:rPr>
          <w:b w:val="0"/>
          <w:color w:val="000000"/>
          <w:sz w:val="26"/>
          <w:szCs w:val="26"/>
          <w:lang w:val="ru-RU"/>
        </w:rPr>
        <w:t>российской</w:t>
      </w:r>
      <w:r>
        <w:rPr>
          <w:b w:val="0"/>
          <w:color w:val="000000"/>
          <w:sz w:val="26"/>
          <w:szCs w:val="26"/>
        </w:rPr>
        <w:t xml:space="preserve"> картографии характерен развитием крупномасштабного топографического и тематического картографирования. В то время создание государственных топографических карт в России, как и в других странах, </w:t>
      </w:r>
      <w:r>
        <w:rPr>
          <w:b w:val="0"/>
          <w:color w:val="000000"/>
          <w:sz w:val="26"/>
          <w:szCs w:val="26"/>
        </w:rPr>
        <w:t>было </w:t>
      </w:r>
      <w:r>
        <w:rPr>
          <w:rStyle w:val="ab"/>
          <w:b w:val="0"/>
          <w:color w:val="000000"/>
          <w:sz w:val="26"/>
          <w:u w:val="none"/>
        </w:rPr>
        <w:t>возложено на военное ведомство</w:t>
      </w:r>
      <w:r>
        <w:rPr>
          <w:b w:val="0"/>
          <w:color w:val="000000"/>
          <w:sz w:val="26"/>
          <w:szCs w:val="26"/>
        </w:rPr>
        <w:t> — Депо карт Генерального штаба. Работы, проведенные под руководством выдающихся военных топографов, поставили Россию по топографической изученности впереди многих государств.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Современная история государственной картограф</w:t>
      </w:r>
      <w:r>
        <w:rPr>
          <w:b w:val="0"/>
          <w:color w:val="000000"/>
          <w:sz w:val="26"/>
          <w:szCs w:val="26"/>
        </w:rPr>
        <w:t>о</w:t>
      </w:r>
      <w:r>
        <w:rPr>
          <w:b w:val="0"/>
          <w:color w:val="000000"/>
          <w:sz w:val="26"/>
          <w:szCs w:val="26"/>
        </w:rPr>
        <w:noBreakHyphen/>
        <w:t>геодезической службы страны началась с 15 марта 1919 года, когда </w:t>
      </w:r>
      <w:r>
        <w:rPr>
          <w:rStyle w:val="ab"/>
          <w:b w:val="0"/>
          <w:color w:val="000000"/>
          <w:sz w:val="26"/>
          <w:u w:val="none"/>
        </w:rPr>
        <w:t>вступил в силу Декрет Совета Народных Комиссаров РСФСР</w:t>
      </w:r>
      <w:r>
        <w:rPr>
          <w:b w:val="0"/>
          <w:color w:val="000000"/>
          <w:sz w:val="26"/>
          <w:szCs w:val="26"/>
        </w:rPr>
        <w:t> о создании Высшего геодезического управления.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</w:rPr>
        <w:t xml:space="preserve">После неоднократных реорганизаций и переподчинений, </w:t>
      </w:r>
      <w:r>
        <w:rPr>
          <w:b w:val="0"/>
          <w:color w:val="000000"/>
          <w:sz w:val="26"/>
          <w:szCs w:val="26"/>
          <w:lang w:val="ru-RU"/>
        </w:rPr>
        <w:t>проходивших на протяжении всего XX в</w:t>
      </w:r>
      <w:r>
        <w:rPr>
          <w:b w:val="0"/>
          <w:color w:val="000000"/>
          <w:sz w:val="26"/>
          <w:szCs w:val="26"/>
          <w:lang w:val="ru-RU"/>
        </w:rPr>
        <w:t>ека, все функции в сфере геодезии и картографии переданы Федеральной службе государственной регистрации, кадастра и картографии.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  <w:lang w:val="ru-RU"/>
        </w:rPr>
        <w:t>11 ноября 2000 года указом Президента Российской Федерации № 1867  утвержден профессиональный праздник работников геодезии и ка</w:t>
      </w:r>
      <w:r>
        <w:rPr>
          <w:b w:val="0"/>
          <w:color w:val="000000"/>
          <w:sz w:val="26"/>
          <w:szCs w:val="26"/>
          <w:lang w:val="ru-RU"/>
        </w:rPr>
        <w:t>ртографии, который отмечается каждое второе воскресенье марта. Эта дата выбрана не случайно - именно в марте 1720 и 1919 годов были приняты важные законы, способствующие развитию данной отрасли.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День работников геодезии и картографии России - это праздник </w:t>
      </w:r>
      <w:r>
        <w:rPr>
          <w:b w:val="0"/>
          <w:color w:val="000000"/>
          <w:sz w:val="26"/>
          <w:szCs w:val="26"/>
        </w:rPr>
        <w:t>людей, благодаря работе которых граждане Российской Федерации, органы власти, органы местного самоуправления и иные организации обеспечиваются геодезической и картографической информацией, необходимой для функционирования отраслей экономики, изучения и исп</w:t>
      </w:r>
      <w:r>
        <w:rPr>
          <w:b w:val="0"/>
          <w:color w:val="000000"/>
          <w:sz w:val="26"/>
          <w:szCs w:val="26"/>
        </w:rPr>
        <w:t>ользования природных ресурсов, охраны окружающей среды, строительства, управления земельными ресурсами, предотвращения и ликвидации последствий чрезвычайных ситуаций, обеспечения обороноспособности и безопасности страны.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Российские </w:t>
      </w:r>
      <w:r>
        <w:rPr>
          <w:b w:val="0"/>
          <w:color w:val="000000"/>
          <w:sz w:val="26"/>
          <w:szCs w:val="26"/>
          <w:lang w:val="ru-RU"/>
        </w:rPr>
        <w:t>специалисты в области ге</w:t>
      </w:r>
      <w:r>
        <w:rPr>
          <w:b w:val="0"/>
          <w:color w:val="000000"/>
          <w:sz w:val="26"/>
          <w:szCs w:val="26"/>
          <w:lang w:val="ru-RU"/>
        </w:rPr>
        <w:t xml:space="preserve">одезии, картографии, фотограмметрии, дистанционного зондирования Земли и наименований географических объектов </w:t>
      </w:r>
      <w:r>
        <w:rPr>
          <w:b w:val="0"/>
          <w:color w:val="000000"/>
          <w:sz w:val="26"/>
          <w:szCs w:val="26"/>
        </w:rPr>
        <w:t xml:space="preserve">пользуются заслуженным авторитетом в странах ближнего и дальнего зарубежья, являются членами практически всех международных организаций </w:t>
      </w:r>
      <w:r>
        <w:rPr>
          <w:b w:val="0"/>
          <w:color w:val="000000"/>
          <w:sz w:val="26"/>
          <w:szCs w:val="26"/>
          <w:lang w:val="ru-RU"/>
        </w:rPr>
        <w:t>по данному</w:t>
      </w:r>
      <w:r>
        <w:rPr>
          <w:b w:val="0"/>
          <w:color w:val="000000"/>
          <w:sz w:val="26"/>
          <w:szCs w:val="26"/>
          <w:lang w:val="ru-RU"/>
        </w:rPr>
        <w:t xml:space="preserve"> направлению деятельности</w:t>
      </w:r>
      <w:r>
        <w:rPr>
          <w:b w:val="0"/>
          <w:color w:val="000000"/>
          <w:sz w:val="26"/>
          <w:szCs w:val="26"/>
        </w:rPr>
        <w:t>.</w:t>
      </w:r>
    </w:p>
    <w:p w:rsidR="00000000" w:rsidRDefault="00CC5E53">
      <w:pPr>
        <w:pStyle w:val="a1"/>
        <w:ind w:firstLine="680"/>
        <w:jc w:val="both"/>
        <w:rPr>
          <w:b w:val="0"/>
          <w:color w:val="000000"/>
          <w:sz w:val="26"/>
          <w:szCs w:val="26"/>
        </w:rPr>
      </w:pPr>
    </w:p>
    <w:p w:rsidR="00000000" w:rsidRDefault="00CC5E53">
      <w:pPr>
        <w:jc w:val="both"/>
        <w:rPr>
          <w:rStyle w:val="ab"/>
          <w:i/>
          <w:iCs/>
          <w:color w:val="000000"/>
          <w:u w:val="none"/>
          <w:shd w:val="clear" w:color="auto" w:fill="FFFFFF"/>
        </w:rPr>
      </w:pPr>
      <w:r>
        <w:rPr>
          <w:rStyle w:val="ab"/>
          <w:i/>
          <w:iCs/>
          <w:color w:val="000000"/>
          <w:u w:val="none"/>
          <w:shd w:val="clear" w:color="auto" w:fill="FFFFFF"/>
        </w:rPr>
        <w:t>Пресс-служба Кадастровой палаты по Алтайскому краю,</w:t>
      </w:r>
    </w:p>
    <w:p w:rsidR="00CC5E53" w:rsidRDefault="00CC5E53">
      <w:pPr>
        <w:jc w:val="both"/>
      </w:pPr>
      <w:r>
        <w:rPr>
          <w:rStyle w:val="ab"/>
          <w:i/>
          <w:iCs/>
          <w:color w:val="000000"/>
          <w:u w:val="none"/>
          <w:shd w:val="clear" w:color="auto" w:fill="FFFFFF"/>
        </w:rPr>
        <w:t xml:space="preserve">тел. 557659, доб. 7091, 7092, </w:t>
      </w:r>
      <w:r>
        <w:rPr>
          <w:rStyle w:val="ab"/>
          <w:rFonts w:eastAsia="Calibri"/>
          <w:i/>
          <w:iCs/>
          <w:color w:val="000000"/>
          <w:u w:val="none"/>
          <w:shd w:val="clear" w:color="auto" w:fill="FFFFFF"/>
          <w:lang w:eastAsia="ru-RU"/>
        </w:rPr>
        <w:t xml:space="preserve">адрес электронной почты: </w:t>
      </w:r>
      <w:r>
        <w:rPr>
          <w:rStyle w:val="ab"/>
          <w:rFonts w:eastAsia="Calibri"/>
          <w:i/>
          <w:iCs/>
          <w:color w:val="000000"/>
          <w:u w:val="none"/>
          <w:shd w:val="clear" w:color="auto" w:fill="FFFFFF"/>
          <w:lang w:val="en-US" w:eastAsia="ru-RU"/>
        </w:rPr>
        <w:t>press</w:t>
      </w:r>
      <w:r>
        <w:rPr>
          <w:rStyle w:val="ab"/>
          <w:rFonts w:eastAsia="Calibri"/>
          <w:i/>
          <w:iCs/>
          <w:color w:val="000000"/>
          <w:u w:val="none"/>
          <w:shd w:val="clear" w:color="auto" w:fill="FFFFFF"/>
          <w:lang w:eastAsia="ru-RU"/>
        </w:rPr>
        <w:t>@22.</w:t>
      </w:r>
      <w:r>
        <w:rPr>
          <w:rStyle w:val="ab"/>
          <w:rFonts w:eastAsia="Calibri"/>
          <w:i/>
          <w:iCs/>
          <w:color w:val="000000"/>
          <w:u w:val="none"/>
          <w:shd w:val="clear" w:color="auto" w:fill="FFFFFF"/>
          <w:lang w:val="en-US" w:eastAsia="ru-RU"/>
        </w:rPr>
        <w:t>kadastr</w:t>
      </w:r>
      <w:r>
        <w:rPr>
          <w:rStyle w:val="ab"/>
          <w:rFonts w:eastAsia="Calibri"/>
          <w:i/>
          <w:iCs/>
          <w:color w:val="000000"/>
          <w:u w:val="none"/>
          <w:shd w:val="clear" w:color="auto" w:fill="FFFFFF"/>
          <w:lang w:eastAsia="ru-RU"/>
        </w:rPr>
        <w:t>.</w:t>
      </w:r>
      <w:r>
        <w:rPr>
          <w:rStyle w:val="ab"/>
          <w:rFonts w:eastAsia="Calibri"/>
          <w:i/>
          <w:iCs/>
          <w:color w:val="000000"/>
          <w:u w:val="none"/>
          <w:shd w:val="clear" w:color="auto" w:fill="FFFFFF"/>
          <w:lang w:val="en-US" w:eastAsia="ru-RU"/>
        </w:rPr>
        <w:t>ru</w:t>
      </w:r>
    </w:p>
    <w:sectPr w:rsidR="00CC5E53">
      <w:footerReference w:type="default" r:id="rId7"/>
      <w:footerReference w:type="first" r:id="rId8"/>
      <w:pgSz w:w="11906" w:h="16838"/>
      <w:pgMar w:top="758" w:right="737" w:bottom="293" w:left="1134" w:header="720" w:footer="1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53" w:rsidRDefault="00CC5E53">
      <w:r>
        <w:separator/>
      </w:r>
    </w:p>
  </w:endnote>
  <w:endnote w:type="continuationSeparator" w:id="1">
    <w:p w:rsidR="00CC5E53" w:rsidRDefault="00CC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E53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E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53" w:rsidRDefault="00CC5E53">
      <w:r>
        <w:separator/>
      </w:r>
    </w:p>
  </w:footnote>
  <w:footnote w:type="continuationSeparator" w:id="1">
    <w:p w:rsidR="00CC5E53" w:rsidRDefault="00CC5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3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193"/>
    <w:rsid w:val="00881193"/>
    <w:rsid w:val="00C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Pr>
      <w:rFonts w:cs="Times New Roman"/>
      <w:b/>
      <w:sz w:val="20"/>
      <w:szCs w:val="20"/>
    </w:rPr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pple-style-span">
    <w:name w:val="apple-style-span"/>
  </w:style>
  <w:style w:type="character" w:customStyle="1" w:styleId="a9">
    <w:name w:val="Текст сноски Знак"/>
    <w:basedOn w:val="10"/>
  </w:style>
  <w:style w:type="character" w:customStyle="1" w:styleId="aa">
    <w:name w:val="Символ сноски"/>
    <w:rPr>
      <w:rFonts w:cs="Times New Roman"/>
      <w:vertAlign w:val="superscript"/>
    </w:rPr>
  </w:style>
  <w:style w:type="character" w:styleId="ab">
    <w:name w:val="Hyperlink"/>
    <w:rPr>
      <w:color w:val="0000FF"/>
      <w:u w:val="single"/>
    </w:rPr>
  </w:style>
  <w:style w:type="character" w:customStyle="1" w:styleId="11">
    <w:name w:val="Знак сноски1"/>
    <w:rPr>
      <w:vertAlign w:val="superscript"/>
    </w:rPr>
  </w:style>
  <w:style w:type="character" w:customStyle="1" w:styleId="ac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32">
    <w:name w:val="Знак концевой сноски3"/>
    <w:rPr>
      <w:vertAlign w:val="superscript"/>
    </w:rPr>
  </w:style>
  <w:style w:type="character" w:customStyle="1" w:styleId="40">
    <w:name w:val="Знак сноски4"/>
    <w:rPr>
      <w:vertAlign w:val="superscript"/>
    </w:rPr>
  </w:style>
  <w:style w:type="character" w:customStyle="1" w:styleId="41">
    <w:name w:val="Знак концевой сноски4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51">
    <w:name w:val="Знак концевой сноски5"/>
    <w:rPr>
      <w:vertAlign w:val="superscript"/>
    </w:rPr>
  </w:style>
  <w:style w:type="character" w:customStyle="1" w:styleId="ad">
    <w:name w:val="Символ нумерации"/>
  </w:style>
  <w:style w:type="character" w:customStyle="1" w:styleId="9">
    <w:name w:val="Знак сноски9"/>
    <w:rPr>
      <w:vertAlign w:val="superscript"/>
    </w:rPr>
  </w:style>
  <w:style w:type="character" w:customStyle="1" w:styleId="7">
    <w:name w:val="Основной шрифт абзаца7"/>
  </w:style>
  <w:style w:type="character" w:customStyle="1" w:styleId="BodytextItalic">
    <w:name w:val="Body text + Italic"/>
    <w:rPr>
      <w:rFonts w:ascii="Times New Roman" w:hAnsi="Times New Roman" w:cs="Times New Roman"/>
      <w:i/>
      <w:spacing w:val="0"/>
      <w:sz w:val="28"/>
      <w:u w:val="single"/>
    </w:rPr>
  </w:style>
  <w:style w:type="character" w:customStyle="1" w:styleId="BodytextBold">
    <w:name w:val="Body text + Bold"/>
    <w:rPr>
      <w:rFonts w:ascii="Times New Roman" w:hAnsi="Times New Roman" w:cs="Times New Roman"/>
      <w:b/>
      <w:i/>
      <w:spacing w:val="0"/>
      <w:sz w:val="28"/>
      <w:u w:val="single"/>
    </w:rPr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character" w:styleId="af0">
    <w:name w:val="FollowedHyperlink"/>
    <w:rPr>
      <w:color w:val="800000"/>
      <w:u w:val="single"/>
    </w:rPr>
  </w:style>
  <w:style w:type="character" w:customStyle="1" w:styleId="DefaultParagraphFont">
    <w:name w:val="Default Paragraph Font"/>
  </w:style>
  <w:style w:type="character" w:customStyle="1" w:styleId="FontStyle13">
    <w:name w:val="Font Style13"/>
    <w:basedOn w:val="DefaultParagraphFont"/>
    <w:rPr>
      <w:rFonts w:ascii="Times New Roman" w:hAnsi="Times New Roman" w:cs="Times New Roman"/>
      <w:sz w:val="24"/>
    </w:rPr>
  </w:style>
  <w:style w:type="character" w:styleId="af1">
    <w:name w:val="Strong"/>
    <w:qFormat/>
    <w:rPr>
      <w:b/>
      <w:bCs/>
    </w:rPr>
  </w:style>
  <w:style w:type="character" w:styleId="af2">
    <w:name w:val="Emphasis"/>
    <w:qFormat/>
    <w:rPr>
      <w:i/>
      <w:iCs/>
    </w:rPr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0"/>
      <w:szCs w:val="20"/>
      <w:lang/>
    </w:rPr>
  </w:style>
  <w:style w:type="paragraph" w:styleId="af4">
    <w:name w:val="List"/>
    <w:basedOn w:val="a1"/>
    <w:rPr>
      <w:rFonts w:cs="Mangal"/>
    </w:rPr>
  </w:style>
  <w:style w:type="paragraph" w:styleId="af5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6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 CYR" w:hAnsi="Arial CYR" w:cs="Arial CYR"/>
      <w:b/>
      <w:bCs/>
      <w:lang w:eastAsia="zh-CN"/>
    </w:rPr>
  </w:style>
  <w:style w:type="paragraph" w:customStyle="1" w:styleId="ConsNonformat0">
    <w:name w:val="ConsNonformat"/>
    <w:pPr>
      <w:widowControl w:val="0"/>
      <w:suppressAutoHyphens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9">
    <w:name w:val="footnote text"/>
    <w:basedOn w:val="a"/>
    <w:rPr>
      <w:sz w:val="20"/>
      <w:szCs w:val="20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Блочная цитата"/>
    <w:basedOn w:val="a"/>
    <w:pPr>
      <w:spacing w:after="283"/>
      <w:ind w:left="567" w:right="567"/>
    </w:pPr>
  </w:style>
  <w:style w:type="paragraph" w:styleId="af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35">
    <w:name w:val="Основной текст3"/>
    <w:basedOn w:val="a"/>
    <w:pPr>
      <w:spacing w:line="322" w:lineRule="exact"/>
      <w:jc w:val="both"/>
    </w:pPr>
    <w:rPr>
      <w:sz w:val="28"/>
      <w:szCs w:val="28"/>
      <w:lang/>
    </w:rPr>
  </w:style>
  <w:style w:type="paragraph" w:customStyle="1" w:styleId="WW-0">
    <w:name w:val="WW-Сноска"/>
    <w:basedOn w:val="a"/>
  </w:style>
  <w:style w:type="paragraph" w:customStyle="1" w:styleId="15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  <w:lang w:eastAsia="zh-CN"/>
    </w:rPr>
  </w:style>
  <w:style w:type="paragraph" w:customStyle="1" w:styleId="Bodytext">
    <w:name w:val="Body text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line="322" w:lineRule="exact"/>
    </w:pPr>
    <w:rPr>
      <w:rFonts w:eastAsia="Impact"/>
      <w:color w:val="000000"/>
      <w:sz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5">
    <w:name w:val="Обычный2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 ФГУ «ЗКП»</dc:title>
  <dc:creator>gav</dc:creator>
  <cp:lastModifiedBy>tanya</cp:lastModifiedBy>
  <cp:revision>2</cp:revision>
  <cp:lastPrinted>2021-03-10T03:34:00Z</cp:lastPrinted>
  <dcterms:created xsi:type="dcterms:W3CDTF">2021-03-11T04:27:00Z</dcterms:created>
  <dcterms:modified xsi:type="dcterms:W3CDTF">2021-03-11T04:27:00Z</dcterms:modified>
</cp:coreProperties>
</file>